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9B90" w14:textId="2E0B499C" w:rsidR="00EF5BE5" w:rsidRPr="00ED1DAE" w:rsidRDefault="0004534E" w:rsidP="00F963CF">
      <w:pPr>
        <w:pStyle w:val="Body"/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70A85" wp14:editId="199BD88C">
                <wp:simplePos x="0" y="0"/>
                <wp:positionH relativeFrom="margin">
                  <wp:posOffset>-173355</wp:posOffset>
                </wp:positionH>
                <wp:positionV relativeFrom="paragraph">
                  <wp:posOffset>330200</wp:posOffset>
                </wp:positionV>
                <wp:extent cx="3143250" cy="847725"/>
                <wp:effectExtent l="0" t="0" r="0" b="0"/>
                <wp:wrapTopAndBottom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C9E28" w14:textId="438BF6F4" w:rsidR="00F963CF" w:rsidRPr="00262E63" w:rsidRDefault="00262E63" w:rsidP="00F963CF">
                            <w:pPr>
                              <w:pStyle w:val="Title"/>
                              <w:spacing w:after="360"/>
                              <w:rPr>
                                <w:lang w:val="es-US"/>
                              </w:rPr>
                            </w:pPr>
                            <w:r w:rsidRPr="00262E63">
                              <w:rPr>
                                <w:rFonts w:ascii="Source Sans Pro SemiBold"/>
                                <w:color w:val="2378A8"/>
                                <w:lang w:val="es-US"/>
                              </w:rPr>
                              <w:t>Ayuda de trabajo para conciliar cuentas bancarias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0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13.65pt;margin-top:26pt;width:247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" filled="f" stroked="f" strokeweight=".5pt">
                <v:textbox>
                  <w:txbxContent>
                    <w:p w14:paraId="02AC9E28" w14:textId="438BF6F4" w:rsidR="00F963CF" w:rsidRPr="00262E63" w:rsidRDefault="00262E63" w:rsidP="00F963CF">
                      <w:pPr>
                        <w:pStyle w:val="Title"/>
                        <w:spacing w:after="360"/>
                        <w:rPr>
                          <w:lang w:val="es-US"/>
                        </w:rPr>
                      </w:pPr>
                      <w:r w:rsidRPr="00262E63">
                        <w:rPr>
                          <w:rFonts w:ascii="Source Sans Pro SemiBold"/>
                          <w:color w:val="2378A8"/>
                          <w:lang w:val="es-US"/>
                        </w:rPr>
                        <w:t>Ayuda de trabajo para conciliar cuentas bancarias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0BA170" w14:textId="77777777" w:rsidR="00FA56B4" w:rsidRDefault="00FA56B4" w:rsidP="00FA56B4">
      <w:pPr>
        <w:pStyle w:val="BodyText"/>
      </w:pPr>
      <w:bookmarkStart w:id="0" w:name="_Hlk68873264"/>
      <w:r>
        <w:t xml:space="preserve">Esta ayuda de trabajo le permite asegurarse </w:t>
      </w:r>
      <w:r w:rsidRPr="00FA56B4">
        <w:t>de</w:t>
      </w:r>
      <w:r>
        <w:t xml:space="preserve"> que todas las cuentas bancarias conectadas a su subvención estén conciliadas.</w:t>
      </w:r>
    </w:p>
    <w:p w14:paraId="723D296A" w14:textId="77777777" w:rsidR="00FA56B4" w:rsidRPr="00FA56B4" w:rsidRDefault="00FA56B4" w:rsidP="00FA56B4">
      <w:pPr>
        <w:pStyle w:val="BodyText"/>
        <w:spacing w:after="120"/>
        <w:rPr>
          <w:b/>
          <w:bCs/>
        </w:rPr>
      </w:pPr>
      <w:r w:rsidRPr="00FA56B4">
        <w:rPr>
          <w:b/>
          <w:bCs/>
        </w:rPr>
        <w:t>¿Tiene usted la siguiente información, que es necesaria para conciliar su cuenta bancaria?</w:t>
      </w:r>
    </w:p>
    <w:tbl>
      <w:tblPr>
        <w:tblStyle w:val="TableGrid"/>
        <w:tblW w:w="10345" w:type="dxa"/>
        <w:tblInd w:w="0" w:type="dxa"/>
        <w:tblLayout w:type="fixed"/>
        <w:tblLook w:val="04A0" w:firstRow="1" w:lastRow="0" w:firstColumn="1" w:lastColumn="0" w:noHBand="0" w:noVBand="1"/>
        <w:tblCaption w:val="Table of tasks"/>
      </w:tblPr>
      <w:tblGrid>
        <w:gridCol w:w="4402"/>
        <w:gridCol w:w="634"/>
        <w:gridCol w:w="634"/>
        <w:gridCol w:w="1260"/>
        <w:gridCol w:w="3415"/>
      </w:tblGrid>
      <w:tr w:rsidR="00FA56B4" w:rsidRPr="009C490A" w14:paraId="01D2ADE1" w14:textId="77777777" w:rsidTr="00C052F1">
        <w:trPr>
          <w:trHeight w:val="364"/>
          <w:tblHeader/>
        </w:trPr>
        <w:tc>
          <w:tcPr>
            <w:tcW w:w="4402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19B1E09" w14:textId="1884EBE0" w:rsidR="00FA56B4" w:rsidRPr="009732FE" w:rsidRDefault="00FA56B4" w:rsidP="00FA56B4">
            <w:pPr>
              <w:pStyle w:val="TableText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/>
              </w:rPr>
              <w:t>Tarea</w:t>
            </w:r>
            <w:proofErr w:type="spellEnd"/>
          </w:p>
        </w:tc>
        <w:tc>
          <w:tcPr>
            <w:tcW w:w="634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DC2325" w14:textId="10B60AF2" w:rsidR="00FA56B4" w:rsidRPr="009732FE" w:rsidRDefault="00FA56B4" w:rsidP="00FA56B4">
            <w:pPr>
              <w:pStyle w:val="TableText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/>
              </w:rPr>
              <w:t>Sí</w:t>
            </w:r>
            <w:proofErr w:type="spellEnd"/>
          </w:p>
        </w:tc>
        <w:tc>
          <w:tcPr>
            <w:tcW w:w="634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3D4783" w14:textId="3E2F5CD9" w:rsidR="00FA56B4" w:rsidRPr="009732FE" w:rsidRDefault="00FA56B4" w:rsidP="00FA56B4">
            <w:pPr>
              <w:pStyle w:val="TableText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1260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ED5D35" w14:textId="2668C65F" w:rsidR="00FA56B4" w:rsidRPr="009732FE" w:rsidRDefault="00FA56B4" w:rsidP="00FA56B4">
            <w:pPr>
              <w:pStyle w:val="TableText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/>
              </w:rPr>
              <w:t>Incierto</w:t>
            </w:r>
            <w:proofErr w:type="spellEnd"/>
          </w:p>
        </w:tc>
        <w:tc>
          <w:tcPr>
            <w:tcW w:w="3415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1D9464" w14:textId="33147FFC" w:rsidR="00FA56B4" w:rsidRPr="009732FE" w:rsidRDefault="00FA56B4" w:rsidP="00FA56B4">
            <w:pPr>
              <w:pStyle w:val="TableText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color w:val="FFFFFF"/>
              </w:rPr>
              <w:t>Comentarios</w:t>
            </w:r>
            <w:proofErr w:type="spellEnd"/>
          </w:p>
        </w:tc>
      </w:tr>
      <w:tr w:rsidR="005F165D" w14:paraId="22111952" w14:textId="77777777" w:rsidTr="0075361C">
        <w:trPr>
          <w:trHeight w:val="544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9352C2" w14:textId="3FA1C4FE" w:rsidR="005F165D" w:rsidRPr="005F165D" w:rsidRDefault="005F165D" w:rsidP="005F165D">
            <w:pPr>
              <w:pStyle w:val="TableText"/>
              <w:spacing w:before="40" w:after="40"/>
              <w:jc w:val="left"/>
              <w:rPr>
                <w:lang w:val="es-US"/>
              </w:rPr>
            </w:pPr>
            <w:r w:rsidRPr="005F165D">
              <w:rPr>
                <w:lang w:val="es-US"/>
              </w:rPr>
              <w:t>Saldo de la cuenta del libro mayor general para la cuenta bancaria que se está conciliando.</w:t>
            </w:r>
          </w:p>
        </w:tc>
        <w:sdt>
          <w:sdtPr>
            <w:id w:val="162311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0EDAD723" w14:textId="3BBAD597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473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C7C1A73" w14:textId="2666C6E1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7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400FAB95" w14:textId="4FE863EE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364C12" w14:textId="77777777" w:rsidR="005F165D" w:rsidRDefault="005F165D" w:rsidP="005F165D"/>
        </w:tc>
      </w:tr>
      <w:tr w:rsidR="005F165D" w14:paraId="1368EAC0" w14:textId="77777777" w:rsidTr="0075361C">
        <w:trPr>
          <w:trHeight w:val="800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051CE9" w14:textId="28540F1E" w:rsidR="005F165D" w:rsidRPr="005F165D" w:rsidRDefault="005F165D" w:rsidP="005F165D">
            <w:pPr>
              <w:pStyle w:val="TableText"/>
              <w:spacing w:before="40" w:after="40"/>
              <w:jc w:val="left"/>
              <w:rPr>
                <w:lang w:val="es-US"/>
              </w:rPr>
            </w:pPr>
            <w:r w:rsidRPr="005F165D">
              <w:rPr>
                <w:lang w:val="es-US"/>
              </w:rPr>
              <w:t>Estado bancario, que es un documento enviado por el banco o la institución financiera que muestra las transiciones registradas en una cuenta bancaria durante un período específico (generalmente, 30 días).</w:t>
            </w:r>
          </w:p>
        </w:tc>
        <w:sdt>
          <w:sdtPr>
            <w:id w:val="-189063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3032BA03" w14:textId="7A3EB9CF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78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516D4BE" w14:textId="31EE9A9C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60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7EC33B8" w14:textId="7722935D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890A9D" w14:textId="77777777" w:rsidR="005F165D" w:rsidRDefault="005F165D" w:rsidP="005F165D"/>
        </w:tc>
      </w:tr>
      <w:tr w:rsidR="005F165D" w14:paraId="6E405209" w14:textId="77777777" w:rsidTr="0075361C">
        <w:trPr>
          <w:trHeight w:val="499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0286B1" w14:textId="6BA799B4" w:rsidR="005F165D" w:rsidRPr="005F165D" w:rsidRDefault="005F165D" w:rsidP="005F165D">
            <w:pPr>
              <w:pStyle w:val="TableText"/>
              <w:spacing w:before="40" w:after="40"/>
              <w:jc w:val="left"/>
              <w:rPr>
                <w:lang w:val="es-US"/>
              </w:rPr>
            </w:pPr>
            <w:r w:rsidRPr="005F165D">
              <w:rPr>
                <w:lang w:val="es-US"/>
              </w:rPr>
              <w:t>Depósitos registrados en la cuenta del libro mayor general, que aún no han sido recibidos ni registrados por el banco.</w:t>
            </w:r>
          </w:p>
        </w:tc>
        <w:sdt>
          <w:sdtPr>
            <w:id w:val="-45471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6AF5FDF4" w14:textId="302AC4C8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921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A1C68AE" w14:textId="73CBEFCA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29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EE8E2E8" w14:textId="71BB0EFE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55B653" w14:textId="77777777" w:rsidR="005F165D" w:rsidRDefault="005F165D" w:rsidP="005F165D"/>
        </w:tc>
      </w:tr>
      <w:tr w:rsidR="005F165D" w14:paraId="5B727A29" w14:textId="77777777" w:rsidTr="0075361C">
        <w:trPr>
          <w:trHeight w:val="800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9812D7" w14:textId="4EB5AB36" w:rsidR="005F165D" w:rsidRPr="005F165D" w:rsidRDefault="005F165D" w:rsidP="005F165D">
            <w:pPr>
              <w:pStyle w:val="TableText"/>
              <w:spacing w:before="40" w:after="40"/>
              <w:jc w:val="left"/>
              <w:rPr>
                <w:lang w:val="es-US"/>
              </w:rPr>
            </w:pPr>
            <w:r w:rsidRPr="005F165D">
              <w:rPr>
                <w:lang w:val="es-US"/>
              </w:rPr>
              <w:t>Cheques escritos y registrados en la cuenta del libro mayor general, pero que aún no se han liquidado en la cuenta bancaria.</w:t>
            </w:r>
          </w:p>
        </w:tc>
        <w:sdt>
          <w:sdtPr>
            <w:id w:val="46169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4917876A" w14:textId="65998696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30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6B2C806" w14:textId="4DCD1656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84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33B051D7" w14:textId="4FDEC605" w:rsidR="005F165D" w:rsidRDefault="005F165D" w:rsidP="005F16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407FC6" w14:textId="77777777" w:rsidR="005F165D" w:rsidRDefault="005F165D" w:rsidP="005F165D"/>
        </w:tc>
      </w:tr>
      <w:bookmarkEnd w:id="0"/>
    </w:tbl>
    <w:p w14:paraId="34837BC8" w14:textId="14278E46" w:rsidR="00236EE2" w:rsidRPr="00BC4126" w:rsidRDefault="00236EE2" w:rsidP="00BC4126">
      <w:pPr>
        <w:spacing w:after="0"/>
        <w:rPr>
          <w:sz w:val="16"/>
          <w:szCs w:val="16"/>
        </w:rPr>
      </w:pPr>
    </w:p>
    <w:p w14:paraId="7B6AE93C" w14:textId="77777777" w:rsidR="00262E63" w:rsidRDefault="00262E63" w:rsidP="00262E63">
      <w:pPr>
        <w:pStyle w:val="Heading1"/>
      </w:pPr>
      <w:r>
        <w:t xml:space="preserve">Pasos para la </w:t>
      </w:r>
      <w:proofErr w:type="spellStart"/>
      <w:r>
        <w:t>conciliación</w:t>
      </w:r>
      <w:proofErr w:type="spellEnd"/>
      <w:r>
        <w:t xml:space="preserve"> </w:t>
      </w:r>
      <w:proofErr w:type="spellStart"/>
      <w:r>
        <w:t>bancaria</w:t>
      </w:r>
      <w:proofErr w:type="spellEnd"/>
    </w:p>
    <w:p w14:paraId="4F82AE50" w14:textId="77777777" w:rsidR="00262E63" w:rsidRPr="00262E63" w:rsidRDefault="00262E63" w:rsidP="00262E63">
      <w:pPr>
        <w:pStyle w:val="Body"/>
        <w:numPr>
          <w:ilvl w:val="0"/>
          <w:numId w:val="22"/>
        </w:numPr>
        <w:ind w:left="360"/>
      </w:pPr>
      <w:r w:rsidRPr="00262E63">
        <w:t>Compare los depósitos de los registros comerciales con los depósitos del estado bancario.</w:t>
      </w:r>
    </w:p>
    <w:p w14:paraId="6366154B" w14:textId="77777777" w:rsidR="00262E63" w:rsidRPr="00262E63" w:rsidRDefault="00262E63" w:rsidP="00262E63">
      <w:pPr>
        <w:pStyle w:val="Body"/>
        <w:numPr>
          <w:ilvl w:val="0"/>
          <w:numId w:val="22"/>
        </w:numPr>
        <w:ind w:left="360"/>
      </w:pPr>
      <w:r w:rsidRPr="00262E63">
        <w:t>Agregue los depósitos en tránsito.</w:t>
      </w:r>
    </w:p>
    <w:p w14:paraId="5E4BBD1B" w14:textId="77777777" w:rsidR="00262E63" w:rsidRPr="00262E63" w:rsidRDefault="00262E63" w:rsidP="00262E63">
      <w:pPr>
        <w:pStyle w:val="Body"/>
        <w:numPr>
          <w:ilvl w:val="0"/>
          <w:numId w:val="22"/>
        </w:numPr>
        <w:ind w:left="360"/>
      </w:pPr>
      <w:r w:rsidRPr="00262E63">
        <w:t>Deduzca los cheques pendientes y otros errores o correcciones bancarias para ajustar adecuadamente el saldo bancario.</w:t>
      </w:r>
    </w:p>
    <w:p w14:paraId="1AA28D00" w14:textId="77777777" w:rsidR="00262E63" w:rsidRPr="00262E63" w:rsidRDefault="00262E63" w:rsidP="00262E63">
      <w:pPr>
        <w:pStyle w:val="Body"/>
        <w:numPr>
          <w:ilvl w:val="0"/>
          <w:numId w:val="22"/>
        </w:numPr>
        <w:ind w:left="360"/>
      </w:pPr>
      <w:r w:rsidRPr="00262E63">
        <w:t>Ajuste el saldo de dinero de caja agregando intereses y cuentas por cobrar. Asegúrese de que se deduzcan los cargos mensuales y los cargos por sobregiro.</w:t>
      </w:r>
    </w:p>
    <w:p w14:paraId="69080AD2" w14:textId="77777777" w:rsidR="00262E63" w:rsidRPr="00262E63" w:rsidRDefault="00262E63" w:rsidP="00262E63">
      <w:pPr>
        <w:pStyle w:val="Body"/>
        <w:numPr>
          <w:ilvl w:val="0"/>
          <w:numId w:val="22"/>
        </w:numPr>
        <w:ind w:left="360"/>
      </w:pPr>
      <w:r w:rsidRPr="00262E63">
        <w:t>Asegúrese de tener documentos de respaldo para todas las transacciones bancarias.</w:t>
      </w:r>
    </w:p>
    <w:sectPr w:rsidR="00262E63" w:rsidRPr="00262E63" w:rsidSect="00236EE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720" w:left="1008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73E8" w14:textId="77777777" w:rsidR="00941B4D" w:rsidRDefault="00941B4D" w:rsidP="00330C24">
      <w:pPr>
        <w:spacing w:after="0" w:line="240" w:lineRule="auto"/>
      </w:pPr>
      <w:r>
        <w:separator/>
      </w:r>
    </w:p>
  </w:endnote>
  <w:endnote w:type="continuationSeparator" w:id="0">
    <w:p w14:paraId="72EB641C" w14:textId="77777777" w:rsidR="00941B4D" w:rsidRDefault="00941B4D" w:rsidP="00330C24">
      <w:pPr>
        <w:spacing w:after="0" w:line="240" w:lineRule="auto"/>
      </w:pPr>
      <w:r>
        <w:continuationSeparator/>
      </w:r>
    </w:p>
  </w:endnote>
  <w:endnote w:type="continuationNotice" w:id="1">
    <w:p w14:paraId="19051552" w14:textId="77777777" w:rsidR="00941B4D" w:rsidRDefault="00941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162787"/>
      <w:docPartObj>
        <w:docPartGallery w:val="Page Numbers (Bottom of Page)"/>
        <w:docPartUnique/>
      </w:docPartObj>
    </w:sdtPr>
    <w:sdtEndPr>
      <w:rPr>
        <w:noProof/>
        <w:color w:val="FFFFFF" w:themeColor="background1"/>
        <w:szCs w:val="20"/>
      </w:rPr>
    </w:sdtEndPr>
    <w:sdtContent>
      <w:p w14:paraId="297A2010" w14:textId="77777777" w:rsidR="00DF0764" w:rsidRPr="006B7B8A" w:rsidRDefault="00DF0764" w:rsidP="00236EE2">
        <w:pPr>
          <w:pStyle w:val="Footer"/>
          <w:spacing w:before="0"/>
          <w:ind w:right="-43"/>
          <w:jc w:val="right"/>
          <w:rPr>
            <w:color w:val="FFFFFF" w:themeColor="background1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3" behindDoc="1" locked="0" layoutInCell="1" allowOverlap="1" wp14:anchorId="30813F73" wp14:editId="696BEF8C">
              <wp:simplePos x="0" y="0"/>
              <wp:positionH relativeFrom="column">
                <wp:posOffset>-1783080</wp:posOffset>
              </wp:positionH>
              <wp:positionV relativeFrom="paragraph">
                <wp:posOffset>635635</wp:posOffset>
              </wp:positionV>
              <wp:extent cx="10058400" cy="7772400"/>
              <wp:effectExtent l="0" t="0" r="0" b="0"/>
              <wp:wrapNone/>
              <wp:docPr id="18" name="Picture 18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andscap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0" cy="777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B7B8A">
          <w:rPr>
            <w:color w:val="FFFFFF" w:themeColor="background1"/>
            <w:szCs w:val="20"/>
          </w:rPr>
          <w:fldChar w:fldCharType="begin"/>
        </w:r>
        <w:r w:rsidRPr="006B7B8A">
          <w:rPr>
            <w:color w:val="FFFFFF" w:themeColor="background1"/>
            <w:szCs w:val="20"/>
          </w:rPr>
          <w:instrText xml:space="preserve"> PAGE   \* MERGEFORMAT </w:instrText>
        </w:r>
        <w:r w:rsidRPr="006B7B8A">
          <w:rPr>
            <w:color w:val="FFFFFF" w:themeColor="background1"/>
            <w:szCs w:val="20"/>
          </w:rPr>
          <w:fldChar w:fldCharType="separate"/>
        </w:r>
        <w:r w:rsidRPr="006B7B8A">
          <w:rPr>
            <w:noProof/>
            <w:color w:val="FFFFFF" w:themeColor="background1"/>
            <w:szCs w:val="20"/>
          </w:rPr>
          <w:t>2</w:t>
        </w:r>
        <w:r w:rsidRPr="006B7B8A">
          <w:rPr>
            <w:noProof/>
            <w:color w:val="FFFFFF" w:themeColor="background1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7871" w14:textId="7C36015B" w:rsidR="00236EE2" w:rsidRPr="00236EE2" w:rsidRDefault="00236EE2" w:rsidP="00236EE2">
    <w:pPr>
      <w:pStyle w:val="Footer"/>
      <w:spacing w:before="0"/>
      <w:ind w:right="58"/>
      <w:jc w:val="right"/>
      <w:rPr>
        <w:color w:val="FFFFFF" w:themeColor="background1"/>
      </w:rPr>
    </w:pPr>
    <w:r w:rsidRPr="00236EE2">
      <w:rPr>
        <w:color w:val="FFFFFF" w:themeColor="background1"/>
      </w:rPr>
      <w:fldChar w:fldCharType="begin"/>
    </w:r>
    <w:r w:rsidRPr="00236EE2">
      <w:rPr>
        <w:color w:val="FFFFFF" w:themeColor="background1"/>
      </w:rPr>
      <w:instrText xml:space="preserve"> PAGE   \* MERGEFORMAT </w:instrText>
    </w:r>
    <w:r w:rsidRPr="00236EE2">
      <w:rPr>
        <w:color w:val="FFFFFF" w:themeColor="background1"/>
      </w:rPr>
      <w:fldChar w:fldCharType="separate"/>
    </w:r>
    <w:r w:rsidRPr="00236EE2">
      <w:rPr>
        <w:noProof/>
        <w:color w:val="FFFFFF" w:themeColor="background1"/>
      </w:rPr>
      <w:t>1</w:t>
    </w:r>
    <w:r w:rsidRPr="00236EE2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552C" w14:textId="77777777" w:rsidR="00941B4D" w:rsidRDefault="00941B4D" w:rsidP="00330C24">
      <w:pPr>
        <w:spacing w:after="0" w:line="240" w:lineRule="auto"/>
      </w:pPr>
      <w:r>
        <w:separator/>
      </w:r>
    </w:p>
  </w:footnote>
  <w:footnote w:type="continuationSeparator" w:id="0">
    <w:p w14:paraId="540C340F" w14:textId="77777777" w:rsidR="00941B4D" w:rsidRDefault="00941B4D" w:rsidP="00330C24">
      <w:pPr>
        <w:spacing w:after="0" w:line="240" w:lineRule="auto"/>
      </w:pPr>
      <w:r>
        <w:continuationSeparator/>
      </w:r>
    </w:p>
  </w:footnote>
  <w:footnote w:type="continuationNotice" w:id="1">
    <w:p w14:paraId="7B5C595E" w14:textId="77777777" w:rsidR="00941B4D" w:rsidRDefault="00941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389B" w14:textId="126EFB03" w:rsidR="00D55CED" w:rsidRDefault="00236EE2">
    <w:pPr>
      <w:pStyle w:val="Header"/>
    </w:pPr>
    <w:r>
      <w:rPr>
        <w:noProof/>
      </w:rPr>
      <w:drawing>
        <wp:anchor distT="0" distB="0" distL="114300" distR="114300" simplePos="0" relativeHeight="251663361" behindDoc="1" locked="0" layoutInCell="1" allowOverlap="1" wp14:anchorId="46A054F7" wp14:editId="76CC9494">
          <wp:simplePos x="0" y="0"/>
          <wp:positionH relativeFrom="page">
            <wp:posOffset>11430</wp:posOffset>
          </wp:positionH>
          <wp:positionV relativeFrom="paragraph">
            <wp:posOffset>-447675</wp:posOffset>
          </wp:positionV>
          <wp:extent cx="7818120" cy="10122408"/>
          <wp:effectExtent l="0" t="0" r="0" b="0"/>
          <wp:wrapNone/>
          <wp:docPr id="3" name="Picture 3" descr="O.J.P.T.F.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.J.P.T.F.S.C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C6F2" w14:textId="4E914759" w:rsidR="00236EE2" w:rsidRDefault="00236EE2">
    <w:pPr>
      <w:pStyle w:val="Header"/>
    </w:pPr>
    <w:r>
      <w:rPr>
        <w:noProof/>
      </w:rPr>
      <w:drawing>
        <wp:anchor distT="0" distB="0" distL="114300" distR="114300" simplePos="0" relativeHeight="251665409" behindDoc="1" locked="0" layoutInCell="1" allowOverlap="1" wp14:anchorId="366AF4F4" wp14:editId="72870D5C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 descr="O.J.P.T.F.S.C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.J.P.T.F.S.C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7F"/>
    <w:multiLevelType w:val="hybridMultilevel"/>
    <w:tmpl w:val="F0C66A7A"/>
    <w:styleLink w:val="OVCTFMCBullets"/>
    <w:lvl w:ilvl="0" w:tplc="8AD6D15E">
      <w:numFmt w:val="bullet"/>
      <w:lvlText w:val="◆"/>
      <w:lvlJc w:val="left"/>
      <w:pPr>
        <w:ind w:left="360" w:hanging="360"/>
      </w:pPr>
      <w:rPr>
        <w:rFonts w:ascii="Calibri" w:hAnsi="Calibri" w:hint="default"/>
        <w:color w:val="D9BC83" w:themeColor="accent3"/>
        <w:sz w:val="24"/>
      </w:rPr>
    </w:lvl>
    <w:lvl w:ilvl="1" w:tplc="BB5E933A">
      <w:numFmt w:val="bullet"/>
      <w:lvlRestart w:val="0"/>
      <w:lvlText w:val="◆"/>
      <w:lvlJc w:val="left"/>
      <w:pPr>
        <w:ind w:left="792" w:hanging="360"/>
      </w:pPr>
      <w:rPr>
        <w:rFonts w:ascii="Calibri" w:hAnsi="Calibri" w:cs="Times New Roman" w:hint="default"/>
        <w:color w:val="153D5B" w:themeColor="accent1"/>
      </w:rPr>
    </w:lvl>
    <w:lvl w:ilvl="2" w:tplc="95A68006">
      <w:start w:val="1"/>
      <w:numFmt w:val="bullet"/>
      <w:lvlRestart w:val="0"/>
      <w:lvlText w:val="◆"/>
      <w:lvlJc w:val="left"/>
      <w:pPr>
        <w:ind w:left="1296" w:hanging="432"/>
      </w:pPr>
      <w:rPr>
        <w:rFonts w:ascii="Calibri" w:hAnsi="Calibri" w:hint="default"/>
        <w:color w:val="2478A8" w:themeColor="accent2"/>
      </w:rPr>
    </w:lvl>
    <w:lvl w:ilvl="3" w:tplc="03B45C58">
      <w:start w:val="1"/>
      <w:numFmt w:val="bullet"/>
      <w:lvlRestart w:val="0"/>
      <w:lvlText w:val="◆"/>
      <w:lvlJc w:val="left"/>
      <w:pPr>
        <w:ind w:left="1656" w:hanging="360"/>
      </w:pPr>
      <w:rPr>
        <w:rFonts w:ascii="Cambria" w:hAnsi="Cambria" w:hint="default"/>
        <w:color w:val="363636" w:themeColor="text1"/>
      </w:rPr>
    </w:lvl>
    <w:lvl w:ilvl="4" w:tplc="039268DC">
      <w:start w:val="1"/>
      <w:numFmt w:val="bullet"/>
      <w:lvlRestart w:val="0"/>
      <w:lvlText w:val="◆"/>
      <w:lvlJc w:val="left"/>
      <w:pPr>
        <w:ind w:left="2160" w:hanging="432"/>
      </w:pPr>
      <w:rPr>
        <w:rFonts w:ascii="Calibri" w:hAnsi="Calibri" w:cs="Times New Roman" w:hint="default"/>
        <w:color w:val="D9BC83" w:themeColor="accent3"/>
      </w:rPr>
    </w:lvl>
    <w:lvl w:ilvl="5" w:tplc="1A80FA00">
      <w:start w:val="1"/>
      <w:numFmt w:val="bullet"/>
      <w:lvlRestart w:val="0"/>
      <w:lvlText w:val="◆"/>
      <w:lvlJc w:val="left"/>
      <w:pPr>
        <w:ind w:left="2592" w:hanging="432"/>
      </w:pPr>
      <w:rPr>
        <w:rFonts w:ascii="Calibri" w:hAnsi="Calibri" w:cs="Times New Roman" w:hint="default"/>
        <w:color w:val="153D5B" w:themeColor="accent1"/>
      </w:rPr>
    </w:lvl>
    <w:lvl w:ilvl="6" w:tplc="5D32BD9C">
      <w:start w:val="1"/>
      <w:numFmt w:val="bullet"/>
      <w:lvlRestart w:val="0"/>
      <w:lvlText w:val="◆"/>
      <w:lvlJc w:val="left"/>
      <w:pPr>
        <w:ind w:left="3024" w:hanging="432"/>
      </w:pPr>
      <w:rPr>
        <w:rFonts w:ascii="Calibri" w:hAnsi="Calibri" w:hint="default"/>
        <w:color w:val="2478A8" w:themeColor="accent2"/>
      </w:rPr>
    </w:lvl>
    <w:lvl w:ilvl="7" w:tplc="A93AA7B4">
      <w:start w:val="1"/>
      <w:numFmt w:val="bullet"/>
      <w:lvlRestart w:val="0"/>
      <w:lvlText w:val="◆"/>
      <w:lvlJc w:val="left"/>
      <w:pPr>
        <w:ind w:left="3456" w:hanging="432"/>
      </w:pPr>
      <w:rPr>
        <w:rFonts w:ascii="Cambria" w:hAnsi="Cambria" w:hint="default"/>
        <w:color w:val="363636" w:themeColor="text1"/>
      </w:rPr>
    </w:lvl>
    <w:lvl w:ilvl="8" w:tplc="22EAB22E">
      <w:start w:val="1"/>
      <w:numFmt w:val="bullet"/>
      <w:lvlRestart w:val="0"/>
      <w:lvlText w:val="◆"/>
      <w:lvlJc w:val="left"/>
      <w:pPr>
        <w:ind w:left="3888" w:hanging="432"/>
      </w:pPr>
      <w:rPr>
        <w:rFonts w:ascii="Calibri" w:hAnsi="Calibri" w:hint="default"/>
        <w:color w:val="D9BC83" w:themeColor="accent3"/>
      </w:rPr>
    </w:lvl>
  </w:abstractNum>
  <w:abstractNum w:abstractNumId="1" w15:restartNumberingAfterBreak="0">
    <w:nsid w:val="0B950AC6"/>
    <w:multiLevelType w:val="hybridMultilevel"/>
    <w:tmpl w:val="6826087C"/>
    <w:lvl w:ilvl="0" w:tplc="B7A60872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83945"/>
    <w:multiLevelType w:val="hybridMultilevel"/>
    <w:tmpl w:val="B39E6880"/>
    <w:lvl w:ilvl="0" w:tplc="4B02F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90720"/>
    <w:multiLevelType w:val="hybridMultilevel"/>
    <w:tmpl w:val="F78AF344"/>
    <w:lvl w:ilvl="0" w:tplc="ED5EF7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1771"/>
    <w:multiLevelType w:val="hybridMultilevel"/>
    <w:tmpl w:val="A348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F4644"/>
    <w:multiLevelType w:val="hybridMultilevel"/>
    <w:tmpl w:val="07B27096"/>
    <w:lvl w:ilvl="0" w:tplc="1C7AC92A">
      <w:start w:val="8"/>
      <w:numFmt w:val="bullet"/>
      <w:pStyle w:val="Table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9430C"/>
    <w:multiLevelType w:val="hybridMultilevel"/>
    <w:tmpl w:val="4B2C4934"/>
    <w:lvl w:ilvl="0" w:tplc="D204813E">
      <w:start w:val="1"/>
      <w:numFmt w:val="bullet"/>
      <w:pStyle w:val="Bullet1"/>
      <w:lvlText w:val=""/>
      <w:lvlJc w:val="left"/>
      <w:pPr>
        <w:ind w:left="720" w:hanging="360"/>
      </w:pPr>
      <w:rPr>
        <w:rFonts w:ascii="Wingdings 3" w:hAnsi="Wingdings 3" w:hint="default"/>
        <w:color w:val="1574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25C"/>
    <w:multiLevelType w:val="hybridMultilevel"/>
    <w:tmpl w:val="8C2E4710"/>
    <w:lvl w:ilvl="0" w:tplc="CAAA5594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632"/>
    <w:multiLevelType w:val="hybridMultilevel"/>
    <w:tmpl w:val="594661E4"/>
    <w:lvl w:ilvl="0" w:tplc="F3C8F4F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9C0"/>
    <w:multiLevelType w:val="hybridMultilevel"/>
    <w:tmpl w:val="88BC1C12"/>
    <w:lvl w:ilvl="0" w:tplc="310617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D4951"/>
    <w:multiLevelType w:val="hybridMultilevel"/>
    <w:tmpl w:val="F970E0B8"/>
    <w:lvl w:ilvl="0" w:tplc="F4BC869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37358"/>
    <w:multiLevelType w:val="hybridMultilevel"/>
    <w:tmpl w:val="83641682"/>
    <w:lvl w:ilvl="0" w:tplc="4ADA138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2A1A"/>
    <w:multiLevelType w:val="hybridMultilevel"/>
    <w:tmpl w:val="EBDE5DA8"/>
    <w:lvl w:ilvl="0" w:tplc="3FDE79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F109F"/>
    <w:multiLevelType w:val="hybridMultilevel"/>
    <w:tmpl w:val="953A4054"/>
    <w:lvl w:ilvl="0" w:tplc="625CDB16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color w:val="363636"/>
        <w:w w:val="100"/>
        <w:sz w:val="20"/>
        <w:szCs w:val="20"/>
        <w:lang w:val="es-ES" w:eastAsia="es-ES" w:bidi="es-ES"/>
      </w:rPr>
    </w:lvl>
    <w:lvl w:ilvl="1" w:tplc="64AA2E74">
      <w:numFmt w:val="bullet"/>
      <w:lvlText w:val="•"/>
      <w:lvlJc w:val="left"/>
      <w:pPr>
        <w:ind w:left="1592" w:hanging="360"/>
      </w:pPr>
      <w:rPr>
        <w:rFonts w:hint="default"/>
        <w:lang w:val="es-ES" w:eastAsia="es-ES" w:bidi="es-ES"/>
      </w:rPr>
    </w:lvl>
    <w:lvl w:ilvl="2" w:tplc="5C48C60C">
      <w:numFmt w:val="bullet"/>
      <w:lvlText w:val="•"/>
      <w:lvlJc w:val="left"/>
      <w:pPr>
        <w:ind w:left="2604" w:hanging="360"/>
      </w:pPr>
      <w:rPr>
        <w:rFonts w:hint="default"/>
        <w:lang w:val="es-ES" w:eastAsia="es-ES" w:bidi="es-ES"/>
      </w:rPr>
    </w:lvl>
    <w:lvl w:ilvl="3" w:tplc="6B8AFB3A">
      <w:numFmt w:val="bullet"/>
      <w:lvlText w:val="•"/>
      <w:lvlJc w:val="left"/>
      <w:pPr>
        <w:ind w:left="3616" w:hanging="360"/>
      </w:pPr>
      <w:rPr>
        <w:rFonts w:hint="default"/>
        <w:lang w:val="es-ES" w:eastAsia="es-ES" w:bidi="es-ES"/>
      </w:rPr>
    </w:lvl>
    <w:lvl w:ilvl="4" w:tplc="816A6810">
      <w:numFmt w:val="bullet"/>
      <w:lvlText w:val="•"/>
      <w:lvlJc w:val="left"/>
      <w:pPr>
        <w:ind w:left="4628" w:hanging="360"/>
      </w:pPr>
      <w:rPr>
        <w:rFonts w:hint="default"/>
        <w:lang w:val="es-ES" w:eastAsia="es-ES" w:bidi="es-ES"/>
      </w:rPr>
    </w:lvl>
    <w:lvl w:ilvl="5" w:tplc="84984196">
      <w:numFmt w:val="bullet"/>
      <w:lvlText w:val="•"/>
      <w:lvlJc w:val="left"/>
      <w:pPr>
        <w:ind w:left="5640" w:hanging="360"/>
      </w:pPr>
      <w:rPr>
        <w:rFonts w:hint="default"/>
        <w:lang w:val="es-ES" w:eastAsia="es-ES" w:bidi="es-ES"/>
      </w:rPr>
    </w:lvl>
    <w:lvl w:ilvl="6" w:tplc="7B24BA5C">
      <w:numFmt w:val="bullet"/>
      <w:lvlText w:val="•"/>
      <w:lvlJc w:val="left"/>
      <w:pPr>
        <w:ind w:left="6652" w:hanging="360"/>
      </w:pPr>
      <w:rPr>
        <w:rFonts w:hint="default"/>
        <w:lang w:val="es-ES" w:eastAsia="es-ES" w:bidi="es-ES"/>
      </w:rPr>
    </w:lvl>
    <w:lvl w:ilvl="7" w:tplc="D774FDE0">
      <w:numFmt w:val="bullet"/>
      <w:lvlText w:val="•"/>
      <w:lvlJc w:val="left"/>
      <w:pPr>
        <w:ind w:left="7664" w:hanging="360"/>
      </w:pPr>
      <w:rPr>
        <w:rFonts w:hint="default"/>
        <w:lang w:val="es-ES" w:eastAsia="es-ES" w:bidi="es-ES"/>
      </w:rPr>
    </w:lvl>
    <w:lvl w:ilvl="8" w:tplc="30F6ACDC">
      <w:numFmt w:val="bullet"/>
      <w:lvlText w:val="•"/>
      <w:lvlJc w:val="left"/>
      <w:pPr>
        <w:ind w:left="8676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66940247"/>
    <w:multiLevelType w:val="hybridMultilevel"/>
    <w:tmpl w:val="066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66661"/>
    <w:multiLevelType w:val="hybridMultilevel"/>
    <w:tmpl w:val="B80420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FE3627"/>
    <w:multiLevelType w:val="hybridMultilevel"/>
    <w:tmpl w:val="4E00C492"/>
    <w:lvl w:ilvl="0" w:tplc="CAAA5594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D1335"/>
    <w:multiLevelType w:val="hybridMultilevel"/>
    <w:tmpl w:val="218A22CE"/>
    <w:lvl w:ilvl="0" w:tplc="A63E057A">
      <w:start w:val="1"/>
      <w:numFmt w:val="bullet"/>
      <w:pStyle w:val="Bullet2"/>
      <w:lvlText w:val=""/>
      <w:lvlJc w:val="left"/>
      <w:pPr>
        <w:ind w:left="1800" w:hanging="360"/>
      </w:pPr>
      <w:rPr>
        <w:rFonts w:ascii="Wingdings 3" w:hAnsi="Wingdings 3" w:hint="default"/>
        <w:color w:val="153D5B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2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9"/>
  </w:num>
  <w:num w:numId="14">
    <w:abstractNumId w:val="17"/>
  </w:num>
  <w:num w:numId="15">
    <w:abstractNumId w:val="6"/>
  </w:num>
  <w:num w:numId="16">
    <w:abstractNumId w:val="17"/>
  </w:num>
  <w:num w:numId="17">
    <w:abstractNumId w:val="5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6"/>
  </w:num>
  <w:num w:numId="23">
    <w:abstractNumId w:val="13"/>
  </w:num>
  <w:num w:numId="2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D"/>
    <w:rsid w:val="00002BAE"/>
    <w:rsid w:val="000064F5"/>
    <w:rsid w:val="0001185B"/>
    <w:rsid w:val="00012CE3"/>
    <w:rsid w:val="0001722A"/>
    <w:rsid w:val="00020D5B"/>
    <w:rsid w:val="00026FB6"/>
    <w:rsid w:val="00033EDE"/>
    <w:rsid w:val="00034957"/>
    <w:rsid w:val="00035DD2"/>
    <w:rsid w:val="00037A86"/>
    <w:rsid w:val="000436B5"/>
    <w:rsid w:val="0004534E"/>
    <w:rsid w:val="0008459F"/>
    <w:rsid w:val="000954DC"/>
    <w:rsid w:val="00095951"/>
    <w:rsid w:val="000966F2"/>
    <w:rsid w:val="000A04E3"/>
    <w:rsid w:val="000A4451"/>
    <w:rsid w:val="000A54CB"/>
    <w:rsid w:val="000A7450"/>
    <w:rsid w:val="000B0421"/>
    <w:rsid w:val="000B3690"/>
    <w:rsid w:val="000C0261"/>
    <w:rsid w:val="000F559F"/>
    <w:rsid w:val="000F565A"/>
    <w:rsid w:val="000F6C1C"/>
    <w:rsid w:val="00106505"/>
    <w:rsid w:val="00111C7C"/>
    <w:rsid w:val="00120742"/>
    <w:rsid w:val="001229B9"/>
    <w:rsid w:val="00132104"/>
    <w:rsid w:val="0014249D"/>
    <w:rsid w:val="00143FA5"/>
    <w:rsid w:val="0015727E"/>
    <w:rsid w:val="00165C6E"/>
    <w:rsid w:val="001669D7"/>
    <w:rsid w:val="001679AE"/>
    <w:rsid w:val="00172848"/>
    <w:rsid w:val="001771C1"/>
    <w:rsid w:val="00183C05"/>
    <w:rsid w:val="001859D6"/>
    <w:rsid w:val="00197D11"/>
    <w:rsid w:val="001A02FC"/>
    <w:rsid w:val="001A3522"/>
    <w:rsid w:val="001A53E3"/>
    <w:rsid w:val="001B0E98"/>
    <w:rsid w:val="001B6C9E"/>
    <w:rsid w:val="001D0915"/>
    <w:rsid w:val="001E24B3"/>
    <w:rsid w:val="001E5630"/>
    <w:rsid w:val="001F6E76"/>
    <w:rsid w:val="00205BC2"/>
    <w:rsid w:val="00206A08"/>
    <w:rsid w:val="00210DC3"/>
    <w:rsid w:val="00222806"/>
    <w:rsid w:val="00227CE0"/>
    <w:rsid w:val="0023001F"/>
    <w:rsid w:val="002313F7"/>
    <w:rsid w:val="002336DC"/>
    <w:rsid w:val="002338D3"/>
    <w:rsid w:val="00235C35"/>
    <w:rsid w:val="002368AE"/>
    <w:rsid w:val="00236EE2"/>
    <w:rsid w:val="00240DB0"/>
    <w:rsid w:val="002413C4"/>
    <w:rsid w:val="00251ECE"/>
    <w:rsid w:val="0025414A"/>
    <w:rsid w:val="00262E63"/>
    <w:rsid w:val="00275725"/>
    <w:rsid w:val="00292296"/>
    <w:rsid w:val="002959F8"/>
    <w:rsid w:val="002A1FB6"/>
    <w:rsid w:val="002A33E3"/>
    <w:rsid w:val="002A6033"/>
    <w:rsid w:val="002A6D6A"/>
    <w:rsid w:val="002B0C49"/>
    <w:rsid w:val="002B5BA1"/>
    <w:rsid w:val="002D3BF7"/>
    <w:rsid w:val="002E6571"/>
    <w:rsid w:val="002F753C"/>
    <w:rsid w:val="003053E2"/>
    <w:rsid w:val="00313006"/>
    <w:rsid w:val="00320E00"/>
    <w:rsid w:val="0032259E"/>
    <w:rsid w:val="00330C24"/>
    <w:rsid w:val="00330E27"/>
    <w:rsid w:val="003311CD"/>
    <w:rsid w:val="00333CBD"/>
    <w:rsid w:val="00346961"/>
    <w:rsid w:val="00352001"/>
    <w:rsid w:val="003538D0"/>
    <w:rsid w:val="003566DA"/>
    <w:rsid w:val="00370821"/>
    <w:rsid w:val="00373DF3"/>
    <w:rsid w:val="0037658F"/>
    <w:rsid w:val="0037667C"/>
    <w:rsid w:val="003805DD"/>
    <w:rsid w:val="00380994"/>
    <w:rsid w:val="00385D1A"/>
    <w:rsid w:val="0038773A"/>
    <w:rsid w:val="00387D99"/>
    <w:rsid w:val="0039085E"/>
    <w:rsid w:val="00396113"/>
    <w:rsid w:val="003B5577"/>
    <w:rsid w:val="003C3DBD"/>
    <w:rsid w:val="003D4875"/>
    <w:rsid w:val="003D6FAB"/>
    <w:rsid w:val="003D7773"/>
    <w:rsid w:val="003E1789"/>
    <w:rsid w:val="003F52F6"/>
    <w:rsid w:val="003F59C7"/>
    <w:rsid w:val="003F5E94"/>
    <w:rsid w:val="00403A9A"/>
    <w:rsid w:val="00413D6C"/>
    <w:rsid w:val="0042190B"/>
    <w:rsid w:val="0042196A"/>
    <w:rsid w:val="004254C3"/>
    <w:rsid w:val="00427691"/>
    <w:rsid w:val="004279A5"/>
    <w:rsid w:val="00430B60"/>
    <w:rsid w:val="00432AC6"/>
    <w:rsid w:val="004334BE"/>
    <w:rsid w:val="004367F6"/>
    <w:rsid w:val="004417D3"/>
    <w:rsid w:val="00442570"/>
    <w:rsid w:val="00451543"/>
    <w:rsid w:val="0045180A"/>
    <w:rsid w:val="00452ED0"/>
    <w:rsid w:val="0045583E"/>
    <w:rsid w:val="00456C0E"/>
    <w:rsid w:val="00462506"/>
    <w:rsid w:val="00462DDD"/>
    <w:rsid w:val="004677C5"/>
    <w:rsid w:val="0047091D"/>
    <w:rsid w:val="00491F23"/>
    <w:rsid w:val="00492BEF"/>
    <w:rsid w:val="0049644D"/>
    <w:rsid w:val="004B2649"/>
    <w:rsid w:val="004B4263"/>
    <w:rsid w:val="004C4841"/>
    <w:rsid w:val="004D074A"/>
    <w:rsid w:val="004E6453"/>
    <w:rsid w:val="004E70FB"/>
    <w:rsid w:val="005014B2"/>
    <w:rsid w:val="00501FBB"/>
    <w:rsid w:val="00511811"/>
    <w:rsid w:val="00526775"/>
    <w:rsid w:val="00540020"/>
    <w:rsid w:val="00540DA5"/>
    <w:rsid w:val="00544B68"/>
    <w:rsid w:val="00552B89"/>
    <w:rsid w:val="005565DB"/>
    <w:rsid w:val="00565396"/>
    <w:rsid w:val="00572DC3"/>
    <w:rsid w:val="005734B9"/>
    <w:rsid w:val="0058720D"/>
    <w:rsid w:val="00592302"/>
    <w:rsid w:val="005929C5"/>
    <w:rsid w:val="00594148"/>
    <w:rsid w:val="0059545B"/>
    <w:rsid w:val="005A57F2"/>
    <w:rsid w:val="005C200B"/>
    <w:rsid w:val="005C30E2"/>
    <w:rsid w:val="005C4585"/>
    <w:rsid w:val="005C4764"/>
    <w:rsid w:val="005D179B"/>
    <w:rsid w:val="005E11AF"/>
    <w:rsid w:val="005E3E70"/>
    <w:rsid w:val="005E7313"/>
    <w:rsid w:val="005F0875"/>
    <w:rsid w:val="005F0ECE"/>
    <w:rsid w:val="005F165D"/>
    <w:rsid w:val="005F1CF2"/>
    <w:rsid w:val="005F38E0"/>
    <w:rsid w:val="005F7D46"/>
    <w:rsid w:val="006019BC"/>
    <w:rsid w:val="00611B44"/>
    <w:rsid w:val="00611C64"/>
    <w:rsid w:val="00615180"/>
    <w:rsid w:val="0061641C"/>
    <w:rsid w:val="00620A97"/>
    <w:rsid w:val="00627A49"/>
    <w:rsid w:val="00635F29"/>
    <w:rsid w:val="006373E2"/>
    <w:rsid w:val="00642996"/>
    <w:rsid w:val="0064343E"/>
    <w:rsid w:val="00645309"/>
    <w:rsid w:val="00647B94"/>
    <w:rsid w:val="00647BF3"/>
    <w:rsid w:val="00667604"/>
    <w:rsid w:val="006735B0"/>
    <w:rsid w:val="00677E55"/>
    <w:rsid w:val="00680356"/>
    <w:rsid w:val="006859CF"/>
    <w:rsid w:val="00691ED8"/>
    <w:rsid w:val="00696E52"/>
    <w:rsid w:val="006B00B2"/>
    <w:rsid w:val="006B0976"/>
    <w:rsid w:val="006B5F51"/>
    <w:rsid w:val="006B7B8A"/>
    <w:rsid w:val="006C3BAC"/>
    <w:rsid w:val="006C573A"/>
    <w:rsid w:val="006E0121"/>
    <w:rsid w:val="006E0A63"/>
    <w:rsid w:val="006E23FD"/>
    <w:rsid w:val="006F712F"/>
    <w:rsid w:val="00704A41"/>
    <w:rsid w:val="00706173"/>
    <w:rsid w:val="00706290"/>
    <w:rsid w:val="0071325D"/>
    <w:rsid w:val="00713662"/>
    <w:rsid w:val="007176AE"/>
    <w:rsid w:val="00722428"/>
    <w:rsid w:val="00725766"/>
    <w:rsid w:val="00741159"/>
    <w:rsid w:val="0075122E"/>
    <w:rsid w:val="007606F7"/>
    <w:rsid w:val="007632FA"/>
    <w:rsid w:val="00783F94"/>
    <w:rsid w:val="00786FA1"/>
    <w:rsid w:val="00787710"/>
    <w:rsid w:val="007A358D"/>
    <w:rsid w:val="007A43A7"/>
    <w:rsid w:val="007A6080"/>
    <w:rsid w:val="007A6D82"/>
    <w:rsid w:val="007B437B"/>
    <w:rsid w:val="007B4CF3"/>
    <w:rsid w:val="007B5F69"/>
    <w:rsid w:val="007C02FB"/>
    <w:rsid w:val="007C3C75"/>
    <w:rsid w:val="007E5500"/>
    <w:rsid w:val="007F2056"/>
    <w:rsid w:val="007F64F2"/>
    <w:rsid w:val="007F6B3A"/>
    <w:rsid w:val="007F7564"/>
    <w:rsid w:val="00812284"/>
    <w:rsid w:val="00813666"/>
    <w:rsid w:val="0081470B"/>
    <w:rsid w:val="0082038C"/>
    <w:rsid w:val="00833A69"/>
    <w:rsid w:val="00834E32"/>
    <w:rsid w:val="008416DD"/>
    <w:rsid w:val="00844C3D"/>
    <w:rsid w:val="00846843"/>
    <w:rsid w:val="00857438"/>
    <w:rsid w:val="00861926"/>
    <w:rsid w:val="00862817"/>
    <w:rsid w:val="00863BBD"/>
    <w:rsid w:val="0086423A"/>
    <w:rsid w:val="0087012F"/>
    <w:rsid w:val="00876C3A"/>
    <w:rsid w:val="00885310"/>
    <w:rsid w:val="00894F28"/>
    <w:rsid w:val="008C667D"/>
    <w:rsid w:val="008D1D0C"/>
    <w:rsid w:val="008D1F8F"/>
    <w:rsid w:val="008D3B4E"/>
    <w:rsid w:val="008D54E0"/>
    <w:rsid w:val="008E4113"/>
    <w:rsid w:val="008E7188"/>
    <w:rsid w:val="008F1F1E"/>
    <w:rsid w:val="008F6987"/>
    <w:rsid w:val="008F76D3"/>
    <w:rsid w:val="009015DC"/>
    <w:rsid w:val="00902FAB"/>
    <w:rsid w:val="00903F2B"/>
    <w:rsid w:val="00913E19"/>
    <w:rsid w:val="0091729D"/>
    <w:rsid w:val="00926008"/>
    <w:rsid w:val="00930CBD"/>
    <w:rsid w:val="0094161A"/>
    <w:rsid w:val="00941B4D"/>
    <w:rsid w:val="0094570C"/>
    <w:rsid w:val="009536F8"/>
    <w:rsid w:val="009544C5"/>
    <w:rsid w:val="009566DE"/>
    <w:rsid w:val="00960995"/>
    <w:rsid w:val="009625BB"/>
    <w:rsid w:val="00962B0D"/>
    <w:rsid w:val="009669AB"/>
    <w:rsid w:val="00966ADC"/>
    <w:rsid w:val="009732FE"/>
    <w:rsid w:val="00973369"/>
    <w:rsid w:val="00974D22"/>
    <w:rsid w:val="00975F2A"/>
    <w:rsid w:val="00991CC5"/>
    <w:rsid w:val="0099380B"/>
    <w:rsid w:val="00995357"/>
    <w:rsid w:val="0099759B"/>
    <w:rsid w:val="009A00D3"/>
    <w:rsid w:val="009A2776"/>
    <w:rsid w:val="009A4A1B"/>
    <w:rsid w:val="009A607B"/>
    <w:rsid w:val="009B0095"/>
    <w:rsid w:val="009D3169"/>
    <w:rsid w:val="009D3B84"/>
    <w:rsid w:val="009E42E5"/>
    <w:rsid w:val="009F6474"/>
    <w:rsid w:val="00A038DB"/>
    <w:rsid w:val="00A055BA"/>
    <w:rsid w:val="00A1010E"/>
    <w:rsid w:val="00A2079D"/>
    <w:rsid w:val="00A2282D"/>
    <w:rsid w:val="00A23CEC"/>
    <w:rsid w:val="00A2554E"/>
    <w:rsid w:val="00A2676A"/>
    <w:rsid w:val="00A337BB"/>
    <w:rsid w:val="00A418EF"/>
    <w:rsid w:val="00A4513A"/>
    <w:rsid w:val="00A45C62"/>
    <w:rsid w:val="00A460EA"/>
    <w:rsid w:val="00A46FBB"/>
    <w:rsid w:val="00A50A0E"/>
    <w:rsid w:val="00A55BE9"/>
    <w:rsid w:val="00A6000F"/>
    <w:rsid w:val="00A70D88"/>
    <w:rsid w:val="00A7128C"/>
    <w:rsid w:val="00A76844"/>
    <w:rsid w:val="00A77B37"/>
    <w:rsid w:val="00A77DEE"/>
    <w:rsid w:val="00A80C75"/>
    <w:rsid w:val="00A80DDE"/>
    <w:rsid w:val="00A85945"/>
    <w:rsid w:val="00A90FE6"/>
    <w:rsid w:val="00A96AB4"/>
    <w:rsid w:val="00AA3E9A"/>
    <w:rsid w:val="00AB147B"/>
    <w:rsid w:val="00AB62AF"/>
    <w:rsid w:val="00AB72B2"/>
    <w:rsid w:val="00AC19DC"/>
    <w:rsid w:val="00AC5173"/>
    <w:rsid w:val="00AC5EB9"/>
    <w:rsid w:val="00AD5A9F"/>
    <w:rsid w:val="00AE4A61"/>
    <w:rsid w:val="00AF16DD"/>
    <w:rsid w:val="00B01198"/>
    <w:rsid w:val="00B0533A"/>
    <w:rsid w:val="00B056A4"/>
    <w:rsid w:val="00B16324"/>
    <w:rsid w:val="00B25FC6"/>
    <w:rsid w:val="00B3291A"/>
    <w:rsid w:val="00B33DCB"/>
    <w:rsid w:val="00B35D56"/>
    <w:rsid w:val="00B513E6"/>
    <w:rsid w:val="00B52661"/>
    <w:rsid w:val="00B63FA6"/>
    <w:rsid w:val="00B647D1"/>
    <w:rsid w:val="00B72E9D"/>
    <w:rsid w:val="00B820F7"/>
    <w:rsid w:val="00B82A1F"/>
    <w:rsid w:val="00B83A3E"/>
    <w:rsid w:val="00B83D92"/>
    <w:rsid w:val="00B93C8D"/>
    <w:rsid w:val="00B97089"/>
    <w:rsid w:val="00B97D38"/>
    <w:rsid w:val="00BA2091"/>
    <w:rsid w:val="00BB31B8"/>
    <w:rsid w:val="00BC4126"/>
    <w:rsid w:val="00BD1C34"/>
    <w:rsid w:val="00BE454E"/>
    <w:rsid w:val="00BE7A7C"/>
    <w:rsid w:val="00BF1372"/>
    <w:rsid w:val="00BF299F"/>
    <w:rsid w:val="00BF45C1"/>
    <w:rsid w:val="00BF5116"/>
    <w:rsid w:val="00BF5B75"/>
    <w:rsid w:val="00C005A5"/>
    <w:rsid w:val="00C127CD"/>
    <w:rsid w:val="00C144F2"/>
    <w:rsid w:val="00C148B6"/>
    <w:rsid w:val="00C322FB"/>
    <w:rsid w:val="00C35D4B"/>
    <w:rsid w:val="00C43EF2"/>
    <w:rsid w:val="00C44753"/>
    <w:rsid w:val="00C6714E"/>
    <w:rsid w:val="00C72849"/>
    <w:rsid w:val="00C7366A"/>
    <w:rsid w:val="00C747BC"/>
    <w:rsid w:val="00C85EAF"/>
    <w:rsid w:val="00C87077"/>
    <w:rsid w:val="00CA7638"/>
    <w:rsid w:val="00CB09EF"/>
    <w:rsid w:val="00CB115B"/>
    <w:rsid w:val="00CC3E82"/>
    <w:rsid w:val="00CD2F89"/>
    <w:rsid w:val="00CD3623"/>
    <w:rsid w:val="00CD70A9"/>
    <w:rsid w:val="00CE08B0"/>
    <w:rsid w:val="00CE1083"/>
    <w:rsid w:val="00CE5487"/>
    <w:rsid w:val="00D30CEE"/>
    <w:rsid w:val="00D377E8"/>
    <w:rsid w:val="00D4121E"/>
    <w:rsid w:val="00D528CE"/>
    <w:rsid w:val="00D545F8"/>
    <w:rsid w:val="00D55CED"/>
    <w:rsid w:val="00D5779A"/>
    <w:rsid w:val="00D60A93"/>
    <w:rsid w:val="00D632CE"/>
    <w:rsid w:val="00D65547"/>
    <w:rsid w:val="00D70AB9"/>
    <w:rsid w:val="00D717E3"/>
    <w:rsid w:val="00D72859"/>
    <w:rsid w:val="00D73C66"/>
    <w:rsid w:val="00D758E2"/>
    <w:rsid w:val="00D85476"/>
    <w:rsid w:val="00D90E77"/>
    <w:rsid w:val="00D93B3B"/>
    <w:rsid w:val="00D9665F"/>
    <w:rsid w:val="00DA2981"/>
    <w:rsid w:val="00DA3D2F"/>
    <w:rsid w:val="00DB415B"/>
    <w:rsid w:val="00DB5681"/>
    <w:rsid w:val="00DB766A"/>
    <w:rsid w:val="00DE1137"/>
    <w:rsid w:val="00DF0764"/>
    <w:rsid w:val="00E030D6"/>
    <w:rsid w:val="00E073CA"/>
    <w:rsid w:val="00E265A1"/>
    <w:rsid w:val="00E371C9"/>
    <w:rsid w:val="00E46EC6"/>
    <w:rsid w:val="00E50636"/>
    <w:rsid w:val="00E55C56"/>
    <w:rsid w:val="00E71885"/>
    <w:rsid w:val="00E820AC"/>
    <w:rsid w:val="00E907B3"/>
    <w:rsid w:val="00E92643"/>
    <w:rsid w:val="00E935A9"/>
    <w:rsid w:val="00EA1B9E"/>
    <w:rsid w:val="00EA522E"/>
    <w:rsid w:val="00EB0061"/>
    <w:rsid w:val="00EB1439"/>
    <w:rsid w:val="00EB2FBB"/>
    <w:rsid w:val="00EB418A"/>
    <w:rsid w:val="00ED1010"/>
    <w:rsid w:val="00ED5720"/>
    <w:rsid w:val="00EF297D"/>
    <w:rsid w:val="00EF5BE5"/>
    <w:rsid w:val="00F057E4"/>
    <w:rsid w:val="00F263C0"/>
    <w:rsid w:val="00F329F7"/>
    <w:rsid w:val="00F36D31"/>
    <w:rsid w:val="00F51D5B"/>
    <w:rsid w:val="00F52491"/>
    <w:rsid w:val="00F53DC0"/>
    <w:rsid w:val="00F57942"/>
    <w:rsid w:val="00F6329A"/>
    <w:rsid w:val="00F93455"/>
    <w:rsid w:val="00F963CF"/>
    <w:rsid w:val="00F96A52"/>
    <w:rsid w:val="00FA26AF"/>
    <w:rsid w:val="00FA56B4"/>
    <w:rsid w:val="00FA5A1E"/>
    <w:rsid w:val="00FB0FDD"/>
    <w:rsid w:val="00FB4B62"/>
    <w:rsid w:val="00FC019D"/>
    <w:rsid w:val="00FC0593"/>
    <w:rsid w:val="00FC7C4F"/>
    <w:rsid w:val="00FD0F81"/>
    <w:rsid w:val="00FD3774"/>
    <w:rsid w:val="00FD776E"/>
    <w:rsid w:val="00FE2869"/>
    <w:rsid w:val="00FE6CF1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10F7"/>
  <w15:chartTrackingRefBased/>
  <w15:docId w15:val="{05AA8880-AFC8-44FF-BFD5-6BE2BE0A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E2"/>
  </w:style>
  <w:style w:type="paragraph" w:styleId="Heading1">
    <w:name w:val="heading 1"/>
    <w:next w:val="Normal"/>
    <w:link w:val="Heading1Char"/>
    <w:qFormat/>
    <w:rsid w:val="008F1F1E"/>
    <w:pPr>
      <w:keepNext/>
      <w:keepLines/>
      <w:spacing w:before="120" w:after="120" w:line="240" w:lineRule="auto"/>
      <w:outlineLvl w:val="0"/>
    </w:pPr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E"/>
    <w:pPr>
      <w:keepNext/>
      <w:keepLines/>
      <w:spacing w:before="120" w:after="60" w:line="264" w:lineRule="auto"/>
      <w:outlineLvl w:val="1"/>
    </w:pPr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F1F1E"/>
    <w:pPr>
      <w:spacing w:after="0"/>
      <w:outlineLvl w:val="2"/>
    </w:pPr>
    <w:rPr>
      <w:rFonts w:ascii="Open Sans SemiBold" w:hAnsi="Open Sans SemiBold" w:cs="Open Sans SemiBold"/>
      <w:b w:val="0"/>
      <w:bCs w:val="0"/>
      <w:color w:val="2478A8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F1E"/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customStyle="1" w:styleId="Exhibit">
    <w:name w:val="Exhibit"/>
    <w:basedOn w:val="Normal"/>
    <w:qFormat/>
    <w:rsid w:val="008F1F1E"/>
    <w:pPr>
      <w:spacing w:before="120" w:after="120" w:line="240" w:lineRule="auto"/>
      <w:jc w:val="center"/>
    </w:pPr>
    <w:rPr>
      <w:rFonts w:ascii="Open Sans" w:hAnsi="Open Sans"/>
      <w:b/>
      <w:bCs/>
      <w:sz w:val="20"/>
    </w:rPr>
  </w:style>
  <w:style w:type="paragraph" w:customStyle="1" w:styleId="TableText">
    <w:name w:val="Table Text"/>
    <w:qFormat/>
    <w:rsid w:val="008F1F1E"/>
    <w:pPr>
      <w:spacing w:before="60" w:after="60" w:line="240" w:lineRule="auto"/>
      <w:jc w:val="center"/>
    </w:pPr>
    <w:rPr>
      <w:rFonts w:ascii="DM Sans" w:hAnsi="DM Sans" w:cs="Open Sans"/>
      <w:sz w:val="20"/>
      <w:szCs w:val="20"/>
    </w:rPr>
  </w:style>
  <w:style w:type="paragraph" w:customStyle="1" w:styleId="Tablenumber">
    <w:name w:val="Table number"/>
    <w:qFormat/>
    <w:rsid w:val="00E71885"/>
    <w:pPr>
      <w:numPr>
        <w:numId w:val="3"/>
      </w:numPr>
      <w:spacing w:after="0" w:line="240" w:lineRule="auto"/>
      <w:ind w:left="291" w:hanging="291"/>
    </w:pPr>
    <w:rPr>
      <w:rFonts w:ascii="DM Sans" w:hAnsi="DM Sans" w:cs="Open Sans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8459F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08459F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5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1F1E"/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er">
    <w:name w:val="header"/>
    <w:basedOn w:val="Normal"/>
    <w:link w:val="HeaderChar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HeaderChar">
    <w:name w:val="Header Char"/>
    <w:basedOn w:val="DefaultParagraphFont"/>
    <w:link w:val="Header"/>
    <w:rsid w:val="008F1F1E"/>
    <w:rPr>
      <w:rFonts w:ascii="DM Sans" w:hAnsi="DM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F1F1E"/>
    <w:rPr>
      <w:rFonts w:ascii="DM Sans" w:hAnsi="DM Sans"/>
      <w:sz w:val="20"/>
    </w:rPr>
  </w:style>
  <w:style w:type="paragraph" w:styleId="ListParagraph">
    <w:name w:val="List Paragraph"/>
    <w:basedOn w:val="Normal"/>
    <w:uiPriority w:val="1"/>
    <w:qFormat/>
    <w:rsid w:val="00991CC5"/>
    <w:pPr>
      <w:spacing w:before="120" w:after="120" w:line="256" w:lineRule="auto"/>
      <w:ind w:left="720"/>
      <w:contextualSpacing/>
    </w:pPr>
    <w:rPr>
      <w:rFonts w:ascii="DM Sans" w:hAnsi="DM Sans"/>
      <w:sz w:val="20"/>
    </w:rPr>
  </w:style>
  <w:style w:type="character" w:styleId="Strong">
    <w:name w:val="Strong"/>
    <w:basedOn w:val="DefaultParagraphFont"/>
    <w:uiPriority w:val="22"/>
    <w:qFormat/>
    <w:rsid w:val="00812284"/>
    <w:rPr>
      <w:b/>
      <w:bCs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846843"/>
    <w:pPr>
      <w:spacing w:before="120" w:after="120" w:line="240" w:lineRule="auto"/>
    </w:pPr>
    <w:rPr>
      <w:rFonts w:ascii="DM Sans" w:hAnsi="DM Sans"/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84684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85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3130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006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F1F1E"/>
    <w:pPr>
      <w:spacing w:before="120" w:after="340" w:line="240" w:lineRule="auto"/>
    </w:pPr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1F1E"/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paragraph" w:customStyle="1" w:styleId="Body">
    <w:name w:val="Body"/>
    <w:link w:val="BodyChar"/>
    <w:qFormat/>
    <w:rsid w:val="008F1F1E"/>
    <w:pPr>
      <w:spacing w:after="120" w:line="264" w:lineRule="auto"/>
    </w:pPr>
    <w:rPr>
      <w:rFonts w:ascii="DM Sans" w:hAnsi="DM Sans" w:cs="Arial"/>
      <w:noProof/>
      <w:sz w:val="20"/>
    </w:rPr>
  </w:style>
  <w:style w:type="paragraph" w:customStyle="1" w:styleId="Note">
    <w:name w:val="Note"/>
    <w:qFormat/>
    <w:rsid w:val="008F1F1E"/>
    <w:pPr>
      <w:spacing w:after="120" w:line="264" w:lineRule="auto"/>
    </w:pPr>
    <w:rPr>
      <w:rFonts w:ascii="DM Sans" w:hAnsi="DM Sans" w:cs="Arial"/>
      <w:sz w:val="16"/>
      <w:szCs w:val="16"/>
    </w:rPr>
  </w:style>
  <w:style w:type="paragraph" w:customStyle="1" w:styleId="Bullet1">
    <w:name w:val="Bullet 1"/>
    <w:qFormat/>
    <w:rsid w:val="008F1F1E"/>
    <w:pPr>
      <w:numPr>
        <w:numId w:val="18"/>
      </w:numPr>
      <w:spacing w:before="60" w:after="60" w:line="264" w:lineRule="auto"/>
    </w:pPr>
    <w:rPr>
      <w:rFonts w:ascii="Open Sans" w:hAnsi="Open Sans" w:cs="Arial"/>
      <w:sz w:val="20"/>
    </w:rPr>
  </w:style>
  <w:style w:type="paragraph" w:styleId="DocumentMap">
    <w:name w:val="Document Map"/>
    <w:basedOn w:val="Normal"/>
    <w:link w:val="DocumentMapChar"/>
    <w:semiHidden/>
    <w:rsid w:val="00966ADC"/>
    <w:pPr>
      <w:shd w:val="clear" w:color="auto" w:fill="000080"/>
      <w:spacing w:before="120"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66AD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UnresolvedMention1">
    <w:name w:val="Unresolved Mention1"/>
    <w:basedOn w:val="DefaultParagraphFont"/>
    <w:uiPriority w:val="99"/>
    <w:unhideWhenUsed/>
    <w:rsid w:val="00966AD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66AD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F1F1E"/>
    <w:rPr>
      <w:color w:val="15745E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966ADC"/>
    <w:rPr>
      <w:sz w:val="20"/>
      <w:szCs w:val="20"/>
    </w:rPr>
  </w:style>
  <w:style w:type="character" w:styleId="SubtleEmphasis">
    <w:name w:val="Subtle Emphasis"/>
    <w:aliases w:val="Notes"/>
    <w:basedOn w:val="BodyChar"/>
    <w:uiPriority w:val="19"/>
    <w:qFormat/>
    <w:rsid w:val="00966ADC"/>
    <w:rPr>
      <w:rFonts w:ascii="Calibri" w:hAnsi="Calibri" w:cs="Arial"/>
      <w:i/>
      <w:iCs/>
      <w:noProof/>
      <w:sz w:val="24"/>
    </w:rPr>
  </w:style>
  <w:style w:type="paragraph" w:styleId="TOCHeading">
    <w:name w:val="TOC Heading"/>
    <w:aliases w:val="Headers"/>
    <w:basedOn w:val="Heading1"/>
    <w:next w:val="Normal"/>
    <w:uiPriority w:val="39"/>
    <w:unhideWhenUsed/>
    <w:qFormat/>
    <w:rsid w:val="008F1F1E"/>
    <w:pPr>
      <w:spacing w:before="240" w:after="0"/>
      <w:outlineLvl w:val="9"/>
    </w:pPr>
    <w:rPr>
      <w:rFonts w:ascii="Calibri" w:hAnsi="Calibri"/>
      <w:bCs/>
      <w:color w:val="153D5B" w:themeColor="accent1"/>
      <w:szCs w:val="28"/>
      <w:lang w:eastAsia="ja-JP"/>
    </w:rPr>
  </w:style>
  <w:style w:type="character" w:customStyle="1" w:styleId="BodyChar">
    <w:name w:val="Body Char"/>
    <w:basedOn w:val="DefaultParagraphFont"/>
    <w:link w:val="Body"/>
    <w:locked/>
    <w:rsid w:val="008F1F1E"/>
    <w:rPr>
      <w:rFonts w:ascii="DM Sans" w:hAnsi="DM Sans" w:cs="Arial"/>
      <w:noProof/>
      <w:sz w:val="20"/>
    </w:rPr>
  </w:style>
  <w:style w:type="numbering" w:customStyle="1" w:styleId="OVCTFMCBullets">
    <w:name w:val="OVC TFMC Bullets"/>
    <w:uiPriority w:val="99"/>
    <w:rsid w:val="00966ADC"/>
    <w:pPr>
      <w:numPr>
        <w:numId w:val="2"/>
      </w:numPr>
    </w:pPr>
  </w:style>
  <w:style w:type="paragraph" w:styleId="Revision">
    <w:name w:val="Revision"/>
    <w:hidden/>
    <w:uiPriority w:val="99"/>
    <w:semiHidden/>
    <w:rsid w:val="0096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F1F1E"/>
    <w:pPr>
      <w:tabs>
        <w:tab w:val="right" w:leader="dot" w:pos="10700"/>
      </w:tabs>
      <w:spacing w:before="120" w:after="60" w:line="240" w:lineRule="auto"/>
    </w:pPr>
    <w:rPr>
      <w:rFonts w:ascii="DM Sans" w:eastAsia="Times New Roman" w:hAnsi="DM Sans" w:cs="Times New Roman"/>
      <w:bCs/>
      <w:color w:val="363636" w:themeColor="text1"/>
      <w:sz w:val="20"/>
      <w:szCs w:val="20"/>
    </w:rPr>
  </w:style>
  <w:style w:type="paragraph" w:customStyle="1" w:styleId="TableHead">
    <w:name w:val="Table Head"/>
    <w:qFormat/>
    <w:rsid w:val="008F1F1E"/>
    <w:pPr>
      <w:spacing w:before="120" w:after="120" w:line="240" w:lineRule="auto"/>
      <w:jc w:val="center"/>
    </w:pPr>
    <w:rPr>
      <w:rFonts w:ascii="DM Sans" w:hAnsi="DM Sans" w:cs="Open Sans"/>
      <w:b/>
      <w:noProof/>
      <w:color w:val="FFFFFF" w:themeColor="background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35C35"/>
    <w:rPr>
      <w:color w:val="808080"/>
    </w:rPr>
  </w:style>
  <w:style w:type="paragraph" w:customStyle="1" w:styleId="Tablebullet">
    <w:name w:val="Table bullet"/>
    <w:basedOn w:val="Normal"/>
    <w:rsid w:val="008F1F1E"/>
    <w:pPr>
      <w:numPr>
        <w:numId w:val="20"/>
      </w:numPr>
      <w:spacing w:before="120"/>
    </w:pPr>
    <w:rPr>
      <w:rFonts w:ascii="DM Sans" w:hAnsi="DM San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F1F1E"/>
    <w:rPr>
      <w:rFonts w:ascii="Open Sans SemiBold" w:eastAsiaTheme="majorEastAsia" w:hAnsi="Open Sans SemiBold" w:cs="Open Sans SemiBold"/>
      <w:color w:val="2478A8" w:themeColor="accent2"/>
      <w:sz w:val="20"/>
      <w:szCs w:val="20"/>
    </w:rPr>
  </w:style>
  <w:style w:type="paragraph" w:customStyle="1" w:styleId="Bullet2">
    <w:name w:val="Bullet 2"/>
    <w:qFormat/>
    <w:rsid w:val="008F1F1E"/>
    <w:pPr>
      <w:numPr>
        <w:numId w:val="19"/>
      </w:numPr>
      <w:spacing w:before="60" w:after="60" w:line="264" w:lineRule="auto"/>
    </w:pPr>
    <w:rPr>
      <w:rFonts w:ascii="Open Sans" w:hAnsi="Open Sans" w:cs="Arial"/>
      <w:sz w:val="20"/>
    </w:rPr>
  </w:style>
  <w:style w:type="character" w:styleId="SubtleReference">
    <w:name w:val="Subtle Reference"/>
    <w:basedOn w:val="DefaultParagraphFont"/>
    <w:uiPriority w:val="31"/>
    <w:qFormat/>
    <w:rsid w:val="0004534E"/>
    <w:rPr>
      <w:smallCaps/>
      <w:color w:val="7C7C7C" w:themeColor="text1" w:themeTint="A5"/>
    </w:rPr>
  </w:style>
  <w:style w:type="paragraph" w:styleId="CommentText">
    <w:name w:val="annotation text"/>
    <w:basedOn w:val="Normal"/>
    <w:link w:val="CommentTextChar"/>
    <w:semiHidden/>
    <w:unhideWhenUsed/>
    <w:rsid w:val="00572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2DC3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56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FA56B4"/>
    <w:rPr>
      <w:rFonts w:ascii="Calibri" w:eastAsia="Calibri" w:hAnsi="Calibri" w:cs="Calibri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950\Desktop\TFSC%20Templates\OJP%20TFSC%20User%20Guide.dotx" TargetMode="External"/></Relationships>
</file>

<file path=word/theme/theme1.xml><?xml version="1.0" encoding="utf-8"?>
<a:theme xmlns:a="http://schemas.openxmlformats.org/drawingml/2006/main" name="Theme1 - TFSC">
  <a:themeElements>
    <a:clrScheme name="OJP_TFSC">
      <a:dk1>
        <a:srgbClr val="363636"/>
      </a:dk1>
      <a:lt1>
        <a:srgbClr val="FFFFFF"/>
      </a:lt1>
      <a:dk2>
        <a:srgbClr val="15745E"/>
      </a:dk2>
      <a:lt2>
        <a:srgbClr val="FFFFFF"/>
      </a:lt2>
      <a:accent1>
        <a:srgbClr val="153D5B"/>
      </a:accent1>
      <a:accent2>
        <a:srgbClr val="2478A8"/>
      </a:accent2>
      <a:accent3>
        <a:srgbClr val="D9BC83"/>
      </a:accent3>
      <a:accent4>
        <a:srgbClr val="89A99E"/>
      </a:accent4>
      <a:accent5>
        <a:srgbClr val="C4D1E3"/>
      </a:accent5>
      <a:accent6>
        <a:srgbClr val="7A8197"/>
      </a:accent6>
      <a:hlink>
        <a:srgbClr val="15745E"/>
      </a:hlink>
      <a:folHlink>
        <a:srgbClr val="1574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 - TFSC" id="{FBDD6948-4778-4D1D-A003-D460DCA38015}" vid="{A78A5C7B-BF83-4564-B7BE-4547117C07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88F78C0B5DA4B90F7BFAC4B60EDA1" ma:contentTypeVersion="13" ma:contentTypeDescription="Create a new document." ma:contentTypeScope="" ma:versionID="53a3b5e15991c5f9fbedc0218895cfeb">
  <xsd:schema xmlns:xsd="http://www.w3.org/2001/XMLSchema" xmlns:xs="http://www.w3.org/2001/XMLSchema" xmlns:p="http://schemas.microsoft.com/office/2006/metadata/properties" xmlns:ns2="afdad5c0-c0a4-4977-8cec-f4d107f6dc91" xmlns:ns3="2442e55e-fd82-4144-96ae-1ca83871df22" targetNamespace="http://schemas.microsoft.com/office/2006/metadata/properties" ma:root="true" ma:fieldsID="ed709f92744e30d36cad8f0780332873" ns2:_="" ns3:_="">
    <xsd:import namespace="afdad5c0-c0a4-4977-8cec-f4d107f6dc91"/>
    <xsd:import namespace="2442e55e-fd82-4144-96ae-1ca83871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urrentlyWith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d5c0-c0a4-4977-8cec-f4d107f6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lyWith" ma:index="19" nillable="true" ma:displayName="Currently With" ma:description="TFSC team member who is currently working on the document" ma:format="Dropdown" ma:list="UserInfo" ma:SharePointGroup="0" ma:internalName="CurrentlyWith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e55e-fd82-4144-96ae-1ca83871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lyWith xmlns="afdad5c0-c0a4-4977-8cec-f4d107f6dc91">
      <UserInfo>
        <DisplayName/>
        <AccountId xsi:nil="true"/>
        <AccountType/>
      </UserInfo>
    </CurrentlyWit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3F6E-5F91-4736-812B-570E5A025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4A930-AFDD-430A-827C-2A72097F1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ad5c0-c0a4-4977-8cec-f4d107f6dc91"/>
    <ds:schemaRef ds:uri="2442e55e-fd82-4144-96ae-1ca83871d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80B49-F5F6-46AE-87C4-69F6213BE8B9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442e55e-fd82-4144-96ae-1ca83871df22"/>
    <ds:schemaRef ds:uri="afdad5c0-c0a4-4977-8cec-f4d107f6dc9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1E9FA3-EA9C-4AF5-99C2-9FDAD496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OJP TFSC User Guide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ICF</Company>
  <LinksUpToDate>false</LinksUpToDate>
  <CharactersWithSpaces>1363</CharactersWithSpaces>
  <SharedDoc>false</SharedDoc>
  <HyperlinkBase/>
  <HLinks>
    <vt:vector size="132" baseType="variant"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_Toc69133192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_Toc69133191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_Toc69133190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_Toc69133189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_Toc69133188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_Toc69133187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_Toc69133186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_Toc69133185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_Toc69133184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_Toc69133183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_Toc69133182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_Toc69133181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_Toc69133180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_Toc69133179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_Toc69133178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_Toc69133177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_Toc69133176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_Toc69133175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_Toc69133174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_Toc69133173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_Toc69133172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_Toc69133171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 de trabajo para conciliar cuentas bancarias</dc:title>
  <dc:subject>Fact Sheet</dc:subject>
  <dc:creator>OJPTFSC</dc:creator>
  <cp:keywords>Ayuda de trabajo para conciliar cuentas bancarias</cp:keywords>
  <dc:description/>
  <cp:lastModifiedBy>Loya, Rosabel</cp:lastModifiedBy>
  <cp:revision>2</cp:revision>
  <dcterms:created xsi:type="dcterms:W3CDTF">2021-11-01T17:47:00Z</dcterms:created>
  <dcterms:modified xsi:type="dcterms:W3CDTF">2021-11-01T17:47:00Z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0x010100D8488F78C0B5DA4B90F7BFAC4B60EDA1</vt:lpwstr>
  </property>
  <property fmtid="{D5CDD505-2E9C-101B-9397-08002B2CF9AE}" pid="3" name="Order">
    <vt:i4>1200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Language">
    <vt:lpwstr>Spanish</vt:lpwstr>
  </property>
</Properties>
</file>